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spacing w:after="0"/>
        <w:ind/>
        <w:jc w:val="center"/>
        <w:rPr>
          <w:color w:val="333333"/>
          <w:sz w:val="21"/>
        </w:rPr>
      </w:pPr>
      <w:r>
        <w:rPr>
          <w:rStyle w:val="Style_2_ch"/>
          <w:b w:val="0"/>
          <w:color w:val="000000"/>
          <w:sz w:val="28"/>
        </w:rPr>
        <w:t>МИНИСТЕРСТВО ПРОСВЕЩЕНИЯ РОССИЙСКОЙ ФЕДЕРАЦИИ</w:t>
      </w:r>
    </w:p>
    <w:p w14:paraId="02000000">
      <w:pPr>
        <w:pStyle w:val="Style_1"/>
        <w:spacing w:after="0"/>
        <w:ind/>
        <w:jc w:val="center"/>
        <w:rPr>
          <w:color w:val="333333"/>
          <w:sz w:val="21"/>
        </w:rPr>
      </w:pPr>
      <w:r>
        <w:rPr>
          <w:rStyle w:val="Style_3_ch"/>
          <w:color w:val="000000"/>
          <w:sz w:val="28"/>
        </w:rPr>
        <w:t>‌</w:t>
      </w:r>
      <w:r>
        <w:rPr>
          <w:rStyle w:val="Style_4_ch"/>
          <w:color w:val="000000"/>
          <w:sz w:val="28"/>
        </w:rPr>
        <w:t>Министерство образования и науки Республики Татарстан</w:t>
      </w:r>
      <w:r>
        <w:rPr>
          <w:rStyle w:val="Style_3_ch"/>
          <w:color w:val="000000"/>
          <w:sz w:val="28"/>
        </w:rPr>
        <w:t>‌</w:t>
      </w:r>
      <w:r>
        <w:rPr>
          <w:rStyle w:val="Style_2_ch"/>
          <w:b w:val="0"/>
          <w:color w:val="000000"/>
          <w:sz w:val="28"/>
        </w:rPr>
        <w:t>‌</w:t>
      </w:r>
      <w:r>
        <w:rPr>
          <w:rStyle w:val="Style_2_ch"/>
          <w:b w:val="0"/>
          <w:color w:val="333333"/>
          <w:sz w:val="16"/>
        </w:rPr>
        <w:t> </w:t>
      </w:r>
    </w:p>
    <w:p w14:paraId="03000000">
      <w:pPr>
        <w:pStyle w:val="Style_1"/>
        <w:spacing w:after="0"/>
        <w:ind/>
        <w:jc w:val="center"/>
        <w:rPr>
          <w:color w:val="333333"/>
          <w:sz w:val="21"/>
        </w:rPr>
      </w:pPr>
      <w:r>
        <w:rPr>
          <w:rStyle w:val="Style_3_ch"/>
          <w:color w:val="000000"/>
          <w:sz w:val="28"/>
          <w:highlight w:val="white"/>
        </w:rPr>
        <w:t>‌</w:t>
      </w:r>
      <w:r>
        <w:rPr>
          <w:rStyle w:val="Style_4_ch"/>
          <w:color w:val="000000"/>
          <w:sz w:val="28"/>
          <w:highlight w:val="white"/>
        </w:rPr>
        <w:t>МКУ "ООО БМР РТ"</w:t>
      </w:r>
      <w:r>
        <w:rPr>
          <w:rStyle w:val="Style_3_ch"/>
          <w:color w:val="000000"/>
          <w:sz w:val="28"/>
          <w:highlight w:val="white"/>
        </w:rPr>
        <w:t>‌</w:t>
      </w:r>
      <w:r>
        <w:rPr>
          <w:color w:val="333333"/>
          <w:sz w:val="21"/>
        </w:rPr>
        <w:t>​</w:t>
      </w:r>
    </w:p>
    <w:p w14:paraId="04000000">
      <w:pPr>
        <w:pStyle w:val="Style_1"/>
        <w:spacing w:after="0"/>
        <w:ind/>
        <w:jc w:val="center"/>
        <w:rPr>
          <w:rStyle w:val="Style_2_ch"/>
          <w:b w:val="0"/>
          <w:color w:val="000000"/>
          <w:sz w:val="28"/>
        </w:rPr>
      </w:pPr>
      <w:r>
        <w:rPr>
          <w:rStyle w:val="Style_2_ch"/>
          <w:b w:val="0"/>
          <w:color w:val="000000"/>
          <w:sz w:val="28"/>
        </w:rPr>
        <w:t>МБОУ "Александровская СОШ"</w:t>
      </w:r>
    </w:p>
    <w:p w14:paraId="05000000">
      <w:pPr>
        <w:pStyle w:val="Style_1"/>
        <w:spacing w:after="0"/>
        <w:ind/>
        <w:jc w:val="center"/>
        <w:rPr>
          <w:rStyle w:val="Style_2_ch"/>
          <w:b w:val="0"/>
          <w:color w:val="000000"/>
          <w:sz w:val="28"/>
        </w:rPr>
      </w:pPr>
    </w:p>
    <w:p w14:paraId="06000000">
      <w:pPr>
        <w:pStyle w:val="Style_1"/>
        <w:spacing w:after="0"/>
        <w:ind/>
        <w:jc w:val="center"/>
        <w:rPr>
          <w:color w:val="333333"/>
          <w:sz w:val="21"/>
        </w:rPr>
      </w:pPr>
    </w:p>
    <w:tbl>
      <w:tblPr>
        <w:tblStyle w:val="Style_5"/>
      </w:tblPr>
      <w:tblGrid>
        <w:gridCol w:w="3482"/>
        <w:gridCol w:w="3483"/>
        <w:gridCol w:w="3456"/>
      </w:tblGrid>
      <w:tr>
        <w:tc>
          <w:tcPr>
            <w:tcW w:type="dxa" w:w="3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РАССМОТРЕНО</w:t>
            </w:r>
          </w:p>
          <w:p w14:paraId="08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школьным методическим объединением</w:t>
            </w:r>
          </w:p>
          <w:p w14:paraId="09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____________________Денисова Е.А.</w:t>
            </w:r>
          </w:p>
          <w:p w14:paraId="0A000000">
            <w:pPr>
              <w:rPr>
                <w:rFonts w:ascii="Times New Roman" w:hAnsi="Times New Roman"/>
                <w:color w:val="333333"/>
                <w:sz w:val="21"/>
              </w:rPr>
            </w:pPr>
          </w:p>
          <w:p w14:paraId="0B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протокол №1</w:t>
            </w:r>
            <w:r>
              <w:rPr>
                <w:rFonts w:ascii="Times New Roman" w:hAnsi="Times New Roman"/>
                <w:color w:val="333333"/>
                <w:sz w:val="21"/>
              </w:rPr>
              <w:br/>
            </w:r>
            <w:r>
              <w:rPr>
                <w:rFonts w:ascii="Times New Roman" w:hAnsi="Times New Roman"/>
                <w:color w:val="333333"/>
                <w:sz w:val="21"/>
              </w:rPr>
              <w:t>от «31» августа 2023 г.</w:t>
            </w:r>
          </w:p>
        </w:tc>
        <w:tc>
          <w:tcPr>
            <w:tcW w:type="dxa" w:w="3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СОГЛАСОВАНО</w:t>
            </w:r>
          </w:p>
          <w:p w14:paraId="0D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Заместитель директора по УВР</w:t>
            </w:r>
          </w:p>
          <w:p w14:paraId="0E000000">
            <w:pPr>
              <w:ind/>
              <w:jc w:val="right"/>
              <w:rPr>
                <w:rFonts w:ascii="Times New Roman" w:hAnsi="Times New Roman"/>
                <w:color w:val="333333"/>
                <w:sz w:val="21"/>
              </w:rPr>
            </w:pPr>
          </w:p>
          <w:p w14:paraId="0F000000">
            <w:pPr>
              <w:ind/>
              <w:jc w:val="right"/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____________________Денисова Е.А.</w:t>
            </w:r>
          </w:p>
          <w:p w14:paraId="10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Протокол № 1</w:t>
            </w:r>
            <w:r>
              <w:rPr>
                <w:rFonts w:ascii="Times New Roman" w:hAnsi="Times New Roman"/>
                <w:color w:val="333333"/>
                <w:sz w:val="21"/>
              </w:rPr>
              <w:br/>
            </w:r>
            <w:r>
              <w:rPr>
                <w:rFonts w:ascii="Times New Roman" w:hAnsi="Times New Roman"/>
                <w:color w:val="333333"/>
                <w:sz w:val="21"/>
              </w:rPr>
              <w:t>от «01» сентября 2023 г.</w:t>
            </w:r>
          </w:p>
          <w:p w14:paraId="11000000">
            <w:pPr>
              <w:rPr>
                <w:rFonts w:ascii="Times New Roman" w:hAnsi="Times New Roman"/>
                <w:color w:val="333333"/>
                <w:sz w:val="21"/>
              </w:rPr>
            </w:pPr>
          </w:p>
        </w:tc>
        <w:tc>
          <w:tcPr>
            <w:tcW w:type="dxa" w:w="3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УТВЕРЖДЕНО</w:t>
            </w:r>
          </w:p>
          <w:p w14:paraId="13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Директор школы</w:t>
            </w:r>
          </w:p>
          <w:p w14:paraId="14000000">
            <w:pPr>
              <w:ind/>
              <w:jc w:val="right"/>
              <w:rPr>
                <w:rFonts w:ascii="Times New Roman" w:hAnsi="Times New Roman"/>
                <w:color w:val="333333"/>
                <w:sz w:val="21"/>
              </w:rPr>
            </w:pPr>
          </w:p>
          <w:p w14:paraId="15000000">
            <w:pPr>
              <w:ind/>
              <w:jc w:val="right"/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__________________</w:t>
            </w:r>
            <w:r>
              <w:rPr>
                <w:rFonts w:ascii="Times New Roman" w:hAnsi="Times New Roman"/>
                <w:color w:val="333333"/>
                <w:sz w:val="21"/>
              </w:rPr>
              <w:t>Ахмадиева</w:t>
            </w:r>
            <w:r>
              <w:rPr>
                <w:rFonts w:ascii="Times New Roman" w:hAnsi="Times New Roman"/>
                <w:color w:val="333333"/>
                <w:sz w:val="21"/>
              </w:rPr>
              <w:t xml:space="preserve"> Ю.О.</w:t>
            </w:r>
          </w:p>
          <w:p w14:paraId="16000000">
            <w:pPr>
              <w:rPr>
                <w:rFonts w:ascii="Times New Roman" w:hAnsi="Times New Roman"/>
                <w:color w:val="333333"/>
                <w:sz w:val="21"/>
              </w:rPr>
            </w:pPr>
            <w:r>
              <w:rPr>
                <w:rFonts w:ascii="Times New Roman" w:hAnsi="Times New Roman"/>
                <w:color w:val="333333"/>
                <w:sz w:val="21"/>
              </w:rPr>
              <w:t>Приказ № 155</w:t>
            </w:r>
            <w:r>
              <w:rPr>
                <w:rFonts w:ascii="Times New Roman" w:hAnsi="Times New Roman"/>
                <w:color w:val="333333"/>
                <w:sz w:val="21"/>
              </w:rPr>
              <w:br/>
            </w:r>
            <w:r>
              <w:rPr>
                <w:rFonts w:ascii="Times New Roman" w:hAnsi="Times New Roman"/>
                <w:color w:val="333333"/>
                <w:sz w:val="21"/>
              </w:rPr>
              <w:t>от «01» сентября 2023 г.</w:t>
            </w:r>
          </w:p>
          <w:p w14:paraId="17000000">
            <w:pPr>
              <w:rPr>
                <w:rFonts w:ascii="Times New Roman" w:hAnsi="Times New Roman"/>
                <w:color w:val="333333"/>
                <w:sz w:val="21"/>
              </w:rPr>
            </w:pPr>
          </w:p>
        </w:tc>
      </w:tr>
    </w:tbl>
    <w:p w14:paraId="18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</w:p>
    <w:p w14:paraId="19000000">
      <w:pPr>
        <w:spacing w:after="0" w:line="240" w:lineRule="auto"/>
        <w:ind/>
        <w:jc w:val="right"/>
        <w:rPr>
          <w:rFonts w:ascii="Times New Roman" w:hAnsi="Times New Roman"/>
          <w:color w:val="333333"/>
          <w:sz w:val="21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color w:val="333333"/>
          <w:sz w:val="21"/>
        </w:rPr>
      </w:pPr>
    </w:p>
    <w:p w14:paraId="1B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</w:p>
    <w:p w14:paraId="1C000000">
      <w:pPr>
        <w:pStyle w:val="Style_1"/>
        <w:spacing w:after="0"/>
        <w:ind/>
        <w:jc w:val="center"/>
        <w:rPr>
          <w:color w:val="333333"/>
          <w:sz w:val="21"/>
        </w:rPr>
      </w:pPr>
      <w:r>
        <w:rPr>
          <w:rStyle w:val="Style_2_ch"/>
          <w:color w:val="000000"/>
          <w:sz w:val="32"/>
        </w:rPr>
        <w:t>РАБОЧАЯ ПРОГРАММА</w:t>
      </w:r>
    </w:p>
    <w:p w14:paraId="1D000000">
      <w:pPr>
        <w:pStyle w:val="Style_1"/>
        <w:spacing w:after="0"/>
        <w:ind/>
        <w:jc w:val="center"/>
        <w:rPr>
          <w:rStyle w:val="Style_2_ch"/>
          <w:color w:val="000000"/>
          <w:sz w:val="36"/>
        </w:rPr>
      </w:pPr>
      <w:r>
        <w:rPr>
          <w:rStyle w:val="Style_2_ch"/>
          <w:color w:val="000000"/>
          <w:sz w:val="36"/>
        </w:rPr>
        <w:t xml:space="preserve"> курса </w:t>
      </w:r>
    </w:p>
    <w:p w14:paraId="1E000000">
      <w:pPr>
        <w:pStyle w:val="Style_1"/>
        <w:spacing w:after="0"/>
        <w:ind/>
        <w:jc w:val="center"/>
        <w:rPr>
          <w:color w:val="333333"/>
          <w:sz w:val="21"/>
        </w:rPr>
      </w:pPr>
      <w:bookmarkStart w:id="1" w:name="_GoBack"/>
      <w:bookmarkEnd w:id="1"/>
      <w:r>
        <w:rPr>
          <w:rStyle w:val="Style_2_ch"/>
          <w:color w:val="000000"/>
          <w:sz w:val="36"/>
        </w:rPr>
        <w:t xml:space="preserve">«Речевые ошибки и </w:t>
      </w:r>
      <w:r>
        <w:rPr>
          <w:rStyle w:val="Style_2_ch"/>
          <w:color w:val="000000"/>
          <w:sz w:val="36"/>
        </w:rPr>
        <w:t>способы</w:t>
      </w:r>
      <w:r>
        <w:rPr>
          <w:rStyle w:val="Style_2_ch"/>
          <w:color w:val="000000"/>
          <w:sz w:val="36"/>
        </w:rPr>
        <w:t xml:space="preserve"> </w:t>
      </w:r>
      <w:r>
        <w:rPr>
          <w:rStyle w:val="Style_2_ch"/>
          <w:color w:val="000000"/>
          <w:sz w:val="36"/>
        </w:rPr>
        <w:t xml:space="preserve"> их преодоления»</w:t>
      </w:r>
    </w:p>
    <w:p w14:paraId="1F000000">
      <w:pPr>
        <w:pStyle w:val="Style_1"/>
        <w:spacing w:after="0"/>
        <w:ind/>
        <w:jc w:val="center"/>
        <w:rPr>
          <w:color w:val="333333"/>
          <w:sz w:val="21"/>
        </w:rPr>
      </w:pPr>
      <w:r>
        <w:rPr>
          <w:color w:val="000000"/>
          <w:sz w:val="32"/>
        </w:rPr>
        <w:t xml:space="preserve">для обучающихся </w:t>
      </w:r>
      <w:r>
        <w:rPr>
          <w:color w:val="000000"/>
          <w:sz w:val="32"/>
        </w:rPr>
        <w:t>10</w:t>
      </w:r>
      <w:r>
        <w:rPr>
          <w:color w:val="000000"/>
          <w:sz w:val="32"/>
        </w:rPr>
        <w:t xml:space="preserve"> класс</w:t>
      </w:r>
      <w:r>
        <w:rPr>
          <w:color w:val="000000"/>
          <w:sz w:val="32"/>
        </w:rPr>
        <w:t>а</w:t>
      </w:r>
    </w:p>
    <w:p w14:paraId="20000000">
      <w:pPr>
        <w:pStyle w:val="Style_1"/>
        <w:spacing w:after="0"/>
        <w:ind/>
        <w:jc w:val="center"/>
        <w:rPr>
          <w:color w:val="333333"/>
          <w:sz w:val="21"/>
        </w:rPr>
      </w:pPr>
      <w:r>
        <w:rPr>
          <w:color w:val="000000"/>
          <w:sz w:val="32"/>
        </w:rPr>
        <w:br/>
      </w:r>
    </w:p>
    <w:p w14:paraId="21000000">
      <w:pPr>
        <w:pStyle w:val="Style_1"/>
        <w:spacing w:after="0"/>
        <w:ind/>
        <w:jc w:val="center"/>
        <w:rPr>
          <w:color w:val="333333"/>
          <w:sz w:val="21"/>
        </w:rPr>
      </w:pPr>
    </w:p>
    <w:p w14:paraId="22000000">
      <w:pPr>
        <w:pStyle w:val="Style_1"/>
        <w:spacing w:after="0"/>
        <w:ind/>
        <w:jc w:val="center"/>
        <w:rPr>
          <w:color w:val="333333"/>
          <w:sz w:val="21"/>
        </w:rPr>
      </w:pPr>
      <w:r>
        <w:rPr>
          <w:color w:val="000000"/>
          <w:sz w:val="32"/>
        </w:rPr>
        <w:br/>
      </w:r>
    </w:p>
    <w:p w14:paraId="23000000">
      <w:pPr>
        <w:pStyle w:val="Style_1"/>
        <w:spacing w:after="0"/>
        <w:ind/>
        <w:jc w:val="center"/>
        <w:rPr>
          <w:color w:val="333333"/>
          <w:sz w:val="21"/>
        </w:rPr>
      </w:pPr>
    </w:p>
    <w:p w14:paraId="24000000">
      <w:pPr>
        <w:pStyle w:val="Style_1"/>
        <w:spacing w:after="0"/>
        <w:ind/>
        <w:jc w:val="center"/>
        <w:rPr>
          <w:color w:val="333333"/>
          <w:sz w:val="21"/>
        </w:rPr>
      </w:pPr>
    </w:p>
    <w:p w14:paraId="25000000">
      <w:pPr>
        <w:pStyle w:val="Style_1"/>
        <w:spacing w:after="0"/>
        <w:ind/>
        <w:jc w:val="center"/>
        <w:rPr>
          <w:color w:val="333333"/>
          <w:sz w:val="21"/>
        </w:rPr>
      </w:pPr>
      <w:r>
        <w:rPr>
          <w:color w:val="000000"/>
          <w:sz w:val="32"/>
        </w:rPr>
        <w:br/>
      </w:r>
    </w:p>
    <w:p w14:paraId="26000000">
      <w:pPr>
        <w:pStyle w:val="Style_1"/>
        <w:spacing w:after="0"/>
        <w:ind/>
        <w:jc w:val="center"/>
        <w:rPr>
          <w:color w:val="333333"/>
          <w:sz w:val="21"/>
        </w:rPr>
      </w:pPr>
      <w:r>
        <w:rPr>
          <w:color w:val="333333"/>
          <w:sz w:val="21"/>
        </w:rPr>
        <w:t>​</w:t>
      </w:r>
    </w:p>
    <w:p w14:paraId="27000000">
      <w:pPr>
        <w:pStyle w:val="Style_1"/>
        <w:spacing w:after="0"/>
        <w:ind/>
        <w:jc w:val="center"/>
        <w:rPr>
          <w:rStyle w:val="Style_4_ch"/>
          <w:b w:val="1"/>
          <w:color w:val="000000"/>
          <w:sz w:val="28"/>
          <w:highlight w:val="white"/>
        </w:rPr>
      </w:pPr>
    </w:p>
    <w:p w14:paraId="28000000">
      <w:pPr>
        <w:pStyle w:val="Style_1"/>
        <w:spacing w:after="0"/>
        <w:ind/>
        <w:jc w:val="center"/>
        <w:rPr>
          <w:rStyle w:val="Style_2_ch"/>
        </w:rPr>
      </w:pPr>
      <w:r>
        <w:rPr>
          <w:rStyle w:val="Style_4_ch"/>
          <w:color w:val="000000"/>
          <w:sz w:val="28"/>
          <w:highlight w:val="white"/>
        </w:rPr>
        <w:t>с</w:t>
      </w:r>
      <w:r>
        <w:rPr>
          <w:rStyle w:val="Style_4_ch"/>
          <w:color w:val="000000"/>
          <w:sz w:val="28"/>
          <w:highlight w:val="white"/>
        </w:rPr>
        <w:t>. Александровка</w:t>
      </w:r>
      <w:r>
        <w:rPr>
          <w:rStyle w:val="Style_2_ch"/>
          <w:color w:val="000000"/>
          <w:sz w:val="28"/>
          <w:highlight w:val="white"/>
        </w:rPr>
        <w:t>‌ </w:t>
      </w:r>
      <w:r>
        <w:rPr>
          <w:rStyle w:val="Style_4_ch"/>
          <w:color w:val="000000"/>
          <w:sz w:val="28"/>
          <w:highlight w:val="white"/>
        </w:rPr>
        <w:t>2023</w:t>
      </w:r>
      <w:r>
        <w:rPr>
          <w:rStyle w:val="Style_2_ch"/>
          <w:color w:val="000000"/>
          <w:sz w:val="28"/>
          <w:highlight w:val="white"/>
        </w:rPr>
        <w:t>‌</w:t>
      </w:r>
    </w:p>
    <w:p w14:paraId="29000000">
      <w:pPr>
        <w:spacing w:after="135" w:line="240" w:lineRule="auto"/>
        <w:ind/>
        <w:rPr>
          <w:rFonts w:ascii="Times New Roman" w:hAnsi="Times New Roman"/>
          <w:color w:val="333333"/>
          <w:sz w:val="24"/>
        </w:rPr>
      </w:pPr>
    </w:p>
    <w:p w14:paraId="2A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2B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2C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  <w:r>
        <w:rPr>
          <w:rFonts w:ascii="Times New Roman" w:hAnsi="Times New Roman"/>
          <w:b w:val="1"/>
          <w:color w:val="333333"/>
          <w:sz w:val="24"/>
        </w:rPr>
        <w:t>Пояснительная записка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К</w:t>
      </w:r>
      <w:r>
        <w:rPr>
          <w:rFonts w:ascii="Times New Roman" w:hAnsi="Times New Roman"/>
          <w:color w:val="333333"/>
          <w:sz w:val="24"/>
        </w:rPr>
        <w:t>урс “</w:t>
      </w:r>
      <w:r>
        <w:rPr>
          <w:rFonts w:ascii="Times New Roman" w:hAnsi="Times New Roman"/>
          <w:color w:val="333333"/>
          <w:sz w:val="24"/>
        </w:rPr>
        <w:t>Речевые ошибки</w:t>
      </w:r>
      <w:r>
        <w:rPr>
          <w:rFonts w:ascii="Times New Roman" w:hAnsi="Times New Roman"/>
          <w:color w:val="333333"/>
          <w:sz w:val="24"/>
        </w:rPr>
        <w:t xml:space="preserve"> и способы их преодоления</w:t>
      </w:r>
      <w:r>
        <w:rPr>
          <w:rFonts w:ascii="Times New Roman" w:hAnsi="Times New Roman"/>
          <w:color w:val="333333"/>
          <w:sz w:val="24"/>
        </w:rPr>
        <w:t>” предполагает расширение знаний учащихся о речевой и грамматической нормах языка, предостерегает от использования языковых средств, лежащих вне норм литературного языка, формирует культуру речи (владение языковой нормой).</w:t>
      </w: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Одной из задач школьного курса русского языка является освоение системы языка, что связано и с освоением нормированной речи. Такая работа ведется на протяжении всего курса.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В процессе обучения письменной речи на уроках русского языка недостаточно уделяется внимания вопросам редактирования письменных работ учащихся. На эту работу отводится мало времени в школьной программе. Недостаточно систематической работы над речевыми и грамматическими ошибками, допущенными учащимися в изложениях и сочинениях. Эта же проблема касается и вопросов развития и совершенствования устной речи учащихся. Данный курс помогает систематизировать работу над редактированием письменных работ учащихся.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Основной вопрос состоит не в неумении выявлять речевые и грамматические ошибки, а в отсутствии классификации подобных ошибок и, следовательно, системы работы по их анализу и редактированию.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Программа </w:t>
      </w:r>
      <w:r>
        <w:rPr>
          <w:rFonts w:ascii="Times New Roman" w:hAnsi="Times New Roman"/>
          <w:color w:val="333333"/>
          <w:sz w:val="24"/>
        </w:rPr>
        <w:t xml:space="preserve"> курса рассчитана на 34 часа. В 10 классе учащиеся знакомятся с видами речевых и грамматических ошибок, учатся редактировать текст; </w:t>
      </w:r>
    </w:p>
    <w:p w14:paraId="32000000">
      <w:p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Данный курс направлен на развитие умений учащихся контролировать свою письменную и устную речь в соответствии с речевыми и грамматическими нормами.</w:t>
      </w:r>
    </w:p>
    <w:p w14:paraId="33000000">
      <w:p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Задачами данного курса является научить:</w:t>
      </w:r>
    </w:p>
    <w:p w14:paraId="34000000">
      <w:pPr>
        <w:numPr>
          <w:ilvl w:val="0"/>
          <w:numId w:val="1"/>
        </w:num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употреблять языковые средства в соответствии с целями и условиями общения;</w:t>
      </w:r>
    </w:p>
    <w:p w14:paraId="35000000">
      <w:pPr>
        <w:numPr>
          <w:ilvl w:val="0"/>
          <w:numId w:val="1"/>
        </w:num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пользоваться выразительными средствами в разных условиях общения;</w:t>
      </w:r>
    </w:p>
    <w:p w14:paraId="36000000">
      <w:pPr>
        <w:numPr>
          <w:ilvl w:val="0"/>
          <w:numId w:val="1"/>
        </w:num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отбирать из множества слов самое нужное, которое точно передает мысль;</w:t>
      </w:r>
    </w:p>
    <w:p w14:paraId="37000000">
      <w:pPr>
        <w:numPr>
          <w:ilvl w:val="0"/>
          <w:numId w:val="1"/>
        </w:num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отбирать слова, не нарушая лексической и грамматической сочетаемости;</w:t>
      </w:r>
    </w:p>
    <w:p w14:paraId="38000000">
      <w:pPr>
        <w:numPr>
          <w:ilvl w:val="0"/>
          <w:numId w:val="1"/>
        </w:num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отбирать слова с учетом ситуации и обстановки речи;</w:t>
      </w:r>
    </w:p>
    <w:p w14:paraId="39000000">
      <w:pPr>
        <w:numPr>
          <w:ilvl w:val="0"/>
          <w:numId w:val="1"/>
        </w:num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избегать двузначности, тавтологии, тяжеловесных конструкций;</w:t>
      </w:r>
    </w:p>
    <w:p w14:paraId="3A000000">
      <w:pPr>
        <w:numPr>
          <w:ilvl w:val="0"/>
          <w:numId w:val="1"/>
        </w:num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соблюдать совокупность требований к правильной и хорошей речи;</w:t>
      </w:r>
    </w:p>
    <w:p w14:paraId="3B000000">
      <w:pPr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править </w:t>
      </w:r>
      <w:r>
        <w:rPr>
          <w:rFonts w:ascii="Times New Roman" w:hAnsi="Times New Roman"/>
          <w:color w:val="333333"/>
          <w:sz w:val="24"/>
        </w:rPr>
        <w:t>написанное</w:t>
      </w:r>
      <w:r>
        <w:rPr>
          <w:rFonts w:ascii="Times New Roman" w:hAnsi="Times New Roman"/>
          <w:color w:val="333333"/>
          <w:sz w:val="24"/>
        </w:rPr>
        <w:t xml:space="preserve"> в соответствии с грамматическими нормами;</w:t>
      </w:r>
    </w:p>
    <w:p w14:paraId="3C000000">
      <w:pPr>
        <w:numPr>
          <w:ilvl w:val="0"/>
          <w:numId w:val="1"/>
        </w:num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грамотно в речевом отношении оформлять устные и письменные высказывания;</w:t>
      </w:r>
    </w:p>
    <w:p w14:paraId="3D000000">
      <w:pPr>
        <w:numPr>
          <w:ilvl w:val="0"/>
          <w:numId w:val="1"/>
        </w:numPr>
        <w:spacing w:after="0" w:line="240" w:lineRule="auto"/>
        <w:ind w:firstLine="709" w:left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пользоваться словарями и справочниками по русскому языку.</w:t>
      </w: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Структура курса позволяет последовательно изучить различные виды речевых и грамматических ошибок в соответствии с их классификацией.</w:t>
      </w: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Основными формами работы в рамках данного курса являются анализ примеров с ошибками, их редактирование.</w:t>
      </w:r>
    </w:p>
    <w:p w14:paraId="40000000">
      <w:pPr>
        <w:spacing w:after="0" w:line="240" w:lineRule="auto"/>
        <w:ind w:firstLine="709" w:left="0"/>
        <w:rPr>
          <w:rFonts w:ascii="Times New Roman" w:hAnsi="Times New Roman"/>
          <w:b w:val="1"/>
          <w:color w:val="333333"/>
          <w:sz w:val="24"/>
          <w:highlight w:val="white"/>
        </w:rPr>
      </w:pPr>
    </w:p>
    <w:p w14:paraId="41000000">
      <w:pPr>
        <w:spacing w:after="0" w:line="240" w:lineRule="auto"/>
        <w:ind w:firstLine="709" w:left="0"/>
        <w:rPr>
          <w:rFonts w:ascii="Times New Roman" w:hAnsi="Times New Roman"/>
          <w:b w:val="1"/>
          <w:color w:val="333333"/>
          <w:sz w:val="24"/>
          <w:highlight w:val="white"/>
        </w:rPr>
      </w:pPr>
      <w:r>
        <w:rPr>
          <w:rFonts w:ascii="Times New Roman" w:hAnsi="Times New Roman"/>
          <w:b w:val="1"/>
          <w:color w:val="333333"/>
          <w:sz w:val="24"/>
          <w:highlight w:val="white"/>
        </w:rPr>
        <w:t>Использованная литература:</w:t>
      </w:r>
    </w:p>
    <w:p w14:paraId="42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Гиллингер</w:t>
      </w:r>
      <w:r>
        <w:rPr>
          <w:rFonts w:ascii="Times New Roman" w:hAnsi="Times New Roman"/>
          <w:color w:val="333333"/>
          <w:sz w:val="24"/>
        </w:rPr>
        <w:t xml:space="preserve"> И.В. Культура речи. Нормы современного русского литературного языка. М, 2001.</w:t>
      </w:r>
    </w:p>
    <w:p w14:paraId="43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Голуб И.Б. Литературное редактирование. М, 2004.</w:t>
      </w:r>
    </w:p>
    <w:p w14:paraId="44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Бирюкова Т.Г. Речь старшеклассников: толкование обобщенных высказываний, круг ассоциаций. РЯШ, 20</w:t>
      </w:r>
      <w:r>
        <w:rPr>
          <w:rFonts w:ascii="Times New Roman" w:hAnsi="Times New Roman"/>
          <w:color w:val="333333"/>
          <w:sz w:val="24"/>
        </w:rPr>
        <w:t>20</w:t>
      </w:r>
      <w:r>
        <w:rPr>
          <w:rFonts w:ascii="Times New Roman" w:hAnsi="Times New Roman"/>
          <w:color w:val="333333"/>
          <w:sz w:val="24"/>
        </w:rPr>
        <w:t>.</w:t>
      </w:r>
    </w:p>
    <w:p w14:paraId="45000000">
      <w:pPr>
        <w:spacing w:after="135" w:line="240" w:lineRule="auto"/>
        <w:ind/>
        <w:rPr>
          <w:rFonts w:ascii="Times New Roman" w:hAnsi="Times New Roman"/>
          <w:b w:val="1"/>
          <w:color w:val="333333"/>
          <w:sz w:val="24"/>
        </w:rPr>
      </w:pPr>
    </w:p>
    <w:p w14:paraId="46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47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48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49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4A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4B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4C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4D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</w:p>
    <w:p w14:paraId="4E000000">
      <w:pPr>
        <w:spacing w:after="135" w:line="240" w:lineRule="auto"/>
        <w:ind/>
        <w:jc w:val="center"/>
        <w:rPr>
          <w:rFonts w:ascii="Times New Roman" w:hAnsi="Times New Roman"/>
          <w:b w:val="1"/>
          <w:color w:val="333333"/>
          <w:sz w:val="24"/>
        </w:rPr>
      </w:pPr>
      <w:r>
        <w:rPr>
          <w:rFonts w:ascii="Times New Roman" w:hAnsi="Times New Roman"/>
          <w:b w:val="1"/>
          <w:color w:val="333333"/>
          <w:sz w:val="24"/>
        </w:rPr>
        <w:t>Поурочное планирование</w:t>
      </w:r>
      <w:r>
        <w:rPr>
          <w:rFonts w:ascii="Times New Roman" w:hAnsi="Times New Roman"/>
          <w:b w:val="1"/>
          <w:color w:val="333333"/>
          <w:sz w:val="24"/>
        </w:rPr>
        <w:t>, 10 класс</w:t>
      </w:r>
    </w:p>
    <w:tbl>
      <w:tblPr>
        <w:tblStyle w:val="Style_5"/>
      </w:tblPr>
      <w:tblGrid>
        <w:gridCol w:w="728"/>
        <w:gridCol w:w="8027"/>
        <w:gridCol w:w="1559"/>
      </w:tblGrid>
      <w:tr>
        <w:tc>
          <w:tcPr>
            <w:tcW w:type="dxa" w:w="728"/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8027"/>
          </w:tcPr>
          <w:p w14:paraId="5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559"/>
          </w:tcPr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</w:tr>
      <w:tr>
        <w:tc>
          <w:tcPr>
            <w:tcW w:type="dxa" w:w="728"/>
          </w:tcPr>
          <w:p w14:paraId="52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</w:t>
            </w:r>
          </w:p>
        </w:tc>
        <w:tc>
          <w:tcPr>
            <w:tcW w:type="dxa" w:w="8027"/>
          </w:tcPr>
          <w:p w14:paraId="53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Вводное занятие. Классификация ошибо</w:t>
            </w:r>
            <w:r>
              <w:rPr>
                <w:rFonts w:ascii="Times New Roman" w:hAnsi="Times New Roman"/>
                <w:color w:val="333333"/>
                <w:sz w:val="24"/>
              </w:rPr>
              <w:t>к, исправляемых в сочинениях</w:t>
            </w:r>
          </w:p>
        </w:tc>
        <w:tc>
          <w:tcPr>
            <w:tcW w:type="dxa" w:w="1559"/>
          </w:tcPr>
          <w:p w14:paraId="54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55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</w:t>
            </w:r>
          </w:p>
        </w:tc>
        <w:tc>
          <w:tcPr>
            <w:tcW w:type="dxa" w:w="8027"/>
          </w:tcPr>
          <w:p w14:paraId="56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Понятие о речевой ошибке (понятие о речевой норме, причины возникновения речевых ошибок, виды речевых ошибок).</w:t>
            </w:r>
          </w:p>
        </w:tc>
        <w:tc>
          <w:tcPr>
            <w:tcW w:type="dxa" w:w="1559"/>
          </w:tcPr>
          <w:p w14:paraId="57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58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</w:t>
            </w:r>
          </w:p>
        </w:tc>
        <w:tc>
          <w:tcPr>
            <w:tcW w:type="dxa" w:w="8027"/>
          </w:tcPr>
          <w:p w14:paraId="59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Ошибки, вызванные неправильным выбором сл</w:t>
            </w:r>
            <w:r>
              <w:rPr>
                <w:rFonts w:ascii="Times New Roman" w:hAnsi="Times New Roman"/>
                <w:color w:val="333333"/>
                <w:sz w:val="24"/>
              </w:rPr>
              <w:t>ов</w:t>
            </w:r>
          </w:p>
        </w:tc>
        <w:tc>
          <w:tcPr>
            <w:tcW w:type="dxa" w:w="1559"/>
          </w:tcPr>
          <w:p w14:paraId="5A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5B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</w:t>
            </w:r>
          </w:p>
        </w:tc>
        <w:tc>
          <w:tcPr>
            <w:tcW w:type="dxa" w:w="8027"/>
          </w:tcPr>
          <w:p w14:paraId="5C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Ошибки, вызванные неправильным </w:t>
            </w:r>
            <w:r>
              <w:rPr>
                <w:rFonts w:ascii="Times New Roman" w:hAnsi="Times New Roman"/>
                <w:color w:val="333333"/>
                <w:sz w:val="24"/>
              </w:rPr>
              <w:t>у</w:t>
            </w:r>
            <w:r>
              <w:rPr>
                <w:rFonts w:ascii="Times New Roman" w:hAnsi="Times New Roman"/>
                <w:color w:val="333333"/>
                <w:sz w:val="24"/>
              </w:rPr>
              <w:t>потребление</w:t>
            </w:r>
            <w:r>
              <w:rPr>
                <w:rFonts w:ascii="Times New Roman" w:hAnsi="Times New Roman"/>
                <w:color w:val="333333"/>
                <w:sz w:val="24"/>
              </w:rPr>
              <w:t>м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слова в несвойственном ему значении</w:t>
            </w:r>
          </w:p>
        </w:tc>
        <w:tc>
          <w:tcPr>
            <w:tcW w:type="dxa" w:w="1559"/>
          </w:tcPr>
          <w:p w14:paraId="5D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rPr>
          <w:trHeight w:hRule="atLeast" w:val="564"/>
        </w:trPr>
        <w:tc>
          <w:tcPr>
            <w:tcW w:type="dxa" w:w="728"/>
          </w:tcPr>
          <w:p w14:paraId="5E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5</w:t>
            </w:r>
          </w:p>
        </w:tc>
        <w:tc>
          <w:tcPr>
            <w:tcW w:type="dxa" w:w="8027"/>
          </w:tcPr>
          <w:p w14:paraId="5F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Ошибки, вызванные нарушение</w:t>
            </w:r>
            <w:r>
              <w:rPr>
                <w:rFonts w:ascii="Times New Roman" w:hAnsi="Times New Roman"/>
                <w:color w:val="333333"/>
                <w:sz w:val="24"/>
              </w:rPr>
              <w:t>м лексической сочетаемости</w:t>
            </w:r>
          </w:p>
        </w:tc>
        <w:tc>
          <w:tcPr>
            <w:tcW w:type="dxa" w:w="1559"/>
          </w:tcPr>
          <w:p w14:paraId="60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61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6</w:t>
            </w:r>
          </w:p>
        </w:tc>
        <w:tc>
          <w:tcPr>
            <w:tcW w:type="dxa" w:w="8027"/>
          </w:tcPr>
          <w:p w14:paraId="62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Ошибки 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в </w:t>
            </w:r>
            <w:r>
              <w:rPr>
                <w:rFonts w:ascii="Times New Roman" w:hAnsi="Times New Roman"/>
                <w:color w:val="333333"/>
                <w:sz w:val="24"/>
              </w:rPr>
              <w:t>использование паронимов</w:t>
            </w:r>
          </w:p>
        </w:tc>
        <w:tc>
          <w:tcPr>
            <w:tcW w:type="dxa" w:w="1559"/>
          </w:tcPr>
          <w:p w14:paraId="63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64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7</w:t>
            </w:r>
          </w:p>
        </w:tc>
        <w:tc>
          <w:tcPr>
            <w:tcW w:type="dxa" w:w="8027"/>
          </w:tcPr>
          <w:p w14:paraId="65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Речевая избыточность</w:t>
            </w:r>
            <w:r>
              <w:rPr>
                <w:rFonts w:ascii="Times New Roman" w:hAnsi="Times New Roman"/>
                <w:color w:val="333333"/>
                <w:sz w:val="24"/>
              </w:rPr>
              <w:t>.</w:t>
            </w:r>
          </w:p>
        </w:tc>
        <w:tc>
          <w:tcPr>
            <w:tcW w:type="dxa" w:w="1559"/>
          </w:tcPr>
          <w:p w14:paraId="66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67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8</w:t>
            </w:r>
          </w:p>
        </w:tc>
        <w:tc>
          <w:tcPr>
            <w:tcW w:type="dxa" w:w="8027"/>
          </w:tcPr>
          <w:p w14:paraId="68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У</w:t>
            </w:r>
            <w:r>
              <w:rPr>
                <w:rFonts w:ascii="Times New Roman" w:hAnsi="Times New Roman"/>
                <w:color w:val="333333"/>
                <w:sz w:val="24"/>
              </w:rPr>
              <w:t>пот</w:t>
            </w:r>
            <w:r>
              <w:rPr>
                <w:rFonts w:ascii="Times New Roman" w:hAnsi="Times New Roman"/>
                <w:color w:val="333333"/>
                <w:sz w:val="24"/>
              </w:rPr>
              <w:t>ребление лишних слов (плеоназм)</w:t>
            </w:r>
          </w:p>
        </w:tc>
        <w:tc>
          <w:tcPr>
            <w:tcW w:type="dxa" w:w="1559"/>
          </w:tcPr>
          <w:p w14:paraId="69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6A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9</w:t>
            </w:r>
          </w:p>
        </w:tc>
        <w:tc>
          <w:tcPr>
            <w:tcW w:type="dxa" w:w="8027"/>
          </w:tcPr>
          <w:p w14:paraId="6B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У</w:t>
            </w:r>
            <w:r>
              <w:rPr>
                <w:rFonts w:ascii="Times New Roman" w:hAnsi="Times New Roman"/>
                <w:color w:val="333333"/>
                <w:sz w:val="24"/>
              </w:rPr>
              <w:t>потребление рядом или близко стоящих однокоренных слов. Тавтология</w:t>
            </w:r>
            <w:r>
              <w:rPr>
                <w:rFonts w:ascii="Times New Roman" w:hAnsi="Times New Roman"/>
                <w:color w:val="333333"/>
                <w:sz w:val="24"/>
              </w:rPr>
              <w:t>.</w:t>
            </w:r>
          </w:p>
        </w:tc>
        <w:tc>
          <w:tcPr>
            <w:tcW w:type="dxa" w:w="1559"/>
          </w:tcPr>
          <w:p w14:paraId="6C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6D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10</w:t>
            </w:r>
          </w:p>
        </w:tc>
        <w:tc>
          <w:tcPr>
            <w:tcW w:type="dxa" w:w="8027"/>
          </w:tcPr>
          <w:p w14:paraId="6E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Ошибки, связанные с употреблением фразеологизмов</w:t>
            </w:r>
          </w:p>
        </w:tc>
        <w:tc>
          <w:tcPr>
            <w:tcW w:type="dxa" w:w="1559"/>
          </w:tcPr>
          <w:p w14:paraId="6F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70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11</w:t>
            </w:r>
          </w:p>
        </w:tc>
        <w:tc>
          <w:tcPr>
            <w:tcW w:type="dxa" w:w="8027"/>
          </w:tcPr>
          <w:p w14:paraId="71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</w:t>
            </w:r>
            <w:r>
              <w:rPr>
                <w:rFonts w:ascii="Times New Roman" w:hAnsi="Times New Roman"/>
                <w:color w:val="333333"/>
                <w:sz w:val="24"/>
              </w:rPr>
              <w:t>еправильное усвоение значения фразеоло</w:t>
            </w:r>
            <w:r>
              <w:rPr>
                <w:rFonts w:ascii="Times New Roman" w:hAnsi="Times New Roman"/>
                <w:color w:val="333333"/>
                <w:sz w:val="24"/>
              </w:rPr>
              <w:t>гизма,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видоизменение фразеологизма</w:t>
            </w:r>
          </w:p>
        </w:tc>
        <w:tc>
          <w:tcPr>
            <w:tcW w:type="dxa" w:w="1559"/>
          </w:tcPr>
          <w:p w14:paraId="72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73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12</w:t>
            </w:r>
          </w:p>
        </w:tc>
        <w:tc>
          <w:tcPr>
            <w:tcW w:type="dxa" w:w="8027"/>
          </w:tcPr>
          <w:p w14:paraId="74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Морфологические ошибки</w:t>
            </w:r>
            <w:r>
              <w:rPr>
                <w:rFonts w:ascii="Times New Roman" w:hAnsi="Times New Roman"/>
                <w:color w:val="333333"/>
                <w:sz w:val="24"/>
              </w:rPr>
              <w:t>.</w:t>
            </w:r>
          </w:p>
        </w:tc>
        <w:tc>
          <w:tcPr>
            <w:tcW w:type="dxa" w:w="1559"/>
          </w:tcPr>
          <w:p w14:paraId="75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76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13</w:t>
            </w:r>
          </w:p>
        </w:tc>
        <w:tc>
          <w:tcPr>
            <w:tcW w:type="dxa" w:w="8027"/>
          </w:tcPr>
          <w:p w14:paraId="77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>шибки в употребление имен существительных</w:t>
            </w:r>
          </w:p>
        </w:tc>
        <w:tc>
          <w:tcPr>
            <w:tcW w:type="dxa" w:w="1559"/>
          </w:tcPr>
          <w:p w14:paraId="78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79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14</w:t>
            </w:r>
          </w:p>
        </w:tc>
        <w:tc>
          <w:tcPr>
            <w:tcW w:type="dxa" w:w="8027"/>
          </w:tcPr>
          <w:p w14:paraId="7A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>шибки в употреблении имен п</w:t>
            </w:r>
            <w:r>
              <w:rPr>
                <w:rFonts w:ascii="Times New Roman" w:hAnsi="Times New Roman"/>
                <w:color w:val="333333"/>
                <w:sz w:val="24"/>
              </w:rPr>
              <w:t>рилагательных</w:t>
            </w:r>
          </w:p>
        </w:tc>
        <w:tc>
          <w:tcPr>
            <w:tcW w:type="dxa" w:w="1559"/>
          </w:tcPr>
          <w:p w14:paraId="7B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7C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15</w:t>
            </w:r>
          </w:p>
        </w:tc>
        <w:tc>
          <w:tcPr>
            <w:tcW w:type="dxa" w:w="8027"/>
          </w:tcPr>
          <w:p w14:paraId="7D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>шибки в употреблении глагола</w:t>
            </w:r>
          </w:p>
        </w:tc>
        <w:tc>
          <w:tcPr>
            <w:tcW w:type="dxa" w:w="1559"/>
          </w:tcPr>
          <w:p w14:paraId="7E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7F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16</w:t>
            </w:r>
          </w:p>
        </w:tc>
        <w:tc>
          <w:tcPr>
            <w:tcW w:type="dxa" w:w="8027"/>
          </w:tcPr>
          <w:p w14:paraId="80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>шибки в употреблении пр</w:t>
            </w:r>
            <w:r>
              <w:rPr>
                <w:rFonts w:ascii="Times New Roman" w:hAnsi="Times New Roman"/>
                <w:color w:val="333333"/>
                <w:sz w:val="24"/>
              </w:rPr>
              <w:t>ичастий</w:t>
            </w:r>
          </w:p>
        </w:tc>
        <w:tc>
          <w:tcPr>
            <w:tcW w:type="dxa" w:w="1559"/>
          </w:tcPr>
          <w:p w14:paraId="81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rPr>
          <w:trHeight w:hRule="atLeast" w:val="358"/>
        </w:trPr>
        <w:tc>
          <w:tcPr>
            <w:tcW w:type="dxa" w:w="728"/>
          </w:tcPr>
          <w:p w14:paraId="82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17</w:t>
            </w:r>
          </w:p>
        </w:tc>
        <w:tc>
          <w:tcPr>
            <w:tcW w:type="dxa" w:w="8027"/>
          </w:tcPr>
          <w:p w14:paraId="83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>ши</w:t>
            </w:r>
            <w:r>
              <w:rPr>
                <w:rFonts w:ascii="Times New Roman" w:hAnsi="Times New Roman"/>
                <w:color w:val="333333"/>
                <w:sz w:val="24"/>
              </w:rPr>
              <w:t>бки в употреблении деепричастия</w:t>
            </w:r>
          </w:p>
        </w:tc>
        <w:tc>
          <w:tcPr>
            <w:tcW w:type="dxa" w:w="1559"/>
          </w:tcPr>
          <w:p w14:paraId="84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85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18</w:t>
            </w:r>
          </w:p>
        </w:tc>
        <w:tc>
          <w:tcPr>
            <w:tcW w:type="dxa" w:w="8027"/>
          </w:tcPr>
          <w:p w14:paraId="86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>шибки в употреблении местоимения</w:t>
            </w:r>
          </w:p>
        </w:tc>
        <w:tc>
          <w:tcPr>
            <w:tcW w:type="dxa" w:w="1559"/>
          </w:tcPr>
          <w:p w14:paraId="87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88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19</w:t>
            </w:r>
          </w:p>
        </w:tc>
        <w:tc>
          <w:tcPr>
            <w:tcW w:type="dxa" w:w="8027"/>
          </w:tcPr>
          <w:p w14:paraId="89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>шибки в употреблении числительны</w:t>
            </w:r>
            <w:r>
              <w:rPr>
                <w:rFonts w:ascii="Times New Roman" w:hAnsi="Times New Roman"/>
                <w:color w:val="333333"/>
                <w:sz w:val="24"/>
              </w:rPr>
              <w:t>х</w:t>
            </w:r>
          </w:p>
        </w:tc>
        <w:tc>
          <w:tcPr>
            <w:tcW w:type="dxa" w:w="1559"/>
          </w:tcPr>
          <w:p w14:paraId="8A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8B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20</w:t>
            </w:r>
          </w:p>
        </w:tc>
        <w:tc>
          <w:tcPr>
            <w:tcW w:type="dxa" w:w="8027"/>
          </w:tcPr>
          <w:p w14:paraId="8C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Синтаксические ошибки</w:t>
            </w:r>
          </w:p>
        </w:tc>
        <w:tc>
          <w:tcPr>
            <w:tcW w:type="dxa" w:w="1559"/>
          </w:tcPr>
          <w:p w14:paraId="8D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8E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21</w:t>
            </w:r>
          </w:p>
        </w:tc>
        <w:tc>
          <w:tcPr>
            <w:tcW w:type="dxa" w:w="8027"/>
          </w:tcPr>
          <w:p w14:paraId="8F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</w:t>
            </w:r>
            <w:r>
              <w:rPr>
                <w:rFonts w:ascii="Times New Roman" w:hAnsi="Times New Roman"/>
                <w:color w:val="333333"/>
                <w:sz w:val="24"/>
              </w:rPr>
              <w:t>арушение согласования</w:t>
            </w:r>
          </w:p>
        </w:tc>
        <w:tc>
          <w:tcPr>
            <w:tcW w:type="dxa" w:w="1559"/>
          </w:tcPr>
          <w:p w14:paraId="90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91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22</w:t>
            </w:r>
          </w:p>
        </w:tc>
        <w:tc>
          <w:tcPr>
            <w:tcW w:type="dxa" w:w="8027"/>
          </w:tcPr>
          <w:p w14:paraId="92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</w:t>
            </w:r>
            <w:r>
              <w:rPr>
                <w:rFonts w:ascii="Times New Roman" w:hAnsi="Times New Roman"/>
                <w:color w:val="333333"/>
                <w:sz w:val="24"/>
              </w:rPr>
              <w:t>арушение управления</w:t>
            </w:r>
          </w:p>
        </w:tc>
        <w:tc>
          <w:tcPr>
            <w:tcW w:type="dxa" w:w="1559"/>
          </w:tcPr>
          <w:p w14:paraId="93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94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23</w:t>
            </w:r>
          </w:p>
        </w:tc>
        <w:tc>
          <w:tcPr>
            <w:tcW w:type="dxa" w:w="8027"/>
          </w:tcPr>
          <w:p w14:paraId="95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</w:t>
            </w:r>
            <w:r>
              <w:rPr>
                <w:rFonts w:ascii="Times New Roman" w:hAnsi="Times New Roman"/>
                <w:color w:val="333333"/>
                <w:sz w:val="24"/>
              </w:rPr>
              <w:t>арушение связи между подлежащим и ск</w:t>
            </w:r>
            <w:r>
              <w:rPr>
                <w:rFonts w:ascii="Times New Roman" w:hAnsi="Times New Roman"/>
                <w:color w:val="333333"/>
                <w:sz w:val="24"/>
              </w:rPr>
              <w:t>азуемым</w:t>
            </w:r>
          </w:p>
        </w:tc>
        <w:tc>
          <w:tcPr>
            <w:tcW w:type="dxa" w:w="1559"/>
          </w:tcPr>
          <w:p w14:paraId="96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97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24</w:t>
            </w:r>
          </w:p>
        </w:tc>
        <w:tc>
          <w:tcPr>
            <w:tcW w:type="dxa" w:w="8027"/>
          </w:tcPr>
          <w:p w14:paraId="98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>шибки в построении пр</w:t>
            </w:r>
            <w:r>
              <w:rPr>
                <w:rFonts w:ascii="Times New Roman" w:hAnsi="Times New Roman"/>
                <w:color w:val="333333"/>
                <w:sz w:val="24"/>
              </w:rPr>
              <w:t>едложений с однородными членами</w:t>
            </w:r>
          </w:p>
        </w:tc>
        <w:tc>
          <w:tcPr>
            <w:tcW w:type="dxa" w:w="1559"/>
          </w:tcPr>
          <w:p w14:paraId="99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rPr>
          <w:trHeight w:hRule="atLeast" w:val="535"/>
        </w:trPr>
        <w:tc>
          <w:tcPr>
            <w:tcW w:type="dxa" w:w="728"/>
          </w:tcPr>
          <w:p w14:paraId="9A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25</w:t>
            </w:r>
          </w:p>
        </w:tc>
        <w:tc>
          <w:tcPr>
            <w:tcW w:type="dxa" w:w="8027"/>
          </w:tcPr>
          <w:p w14:paraId="9B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шибки в построении предложения с деепричастным и </w:t>
            </w:r>
            <w:r>
              <w:rPr>
                <w:rFonts w:ascii="Times New Roman" w:hAnsi="Times New Roman"/>
                <w:color w:val="333333"/>
                <w:sz w:val="24"/>
              </w:rPr>
              <w:t>причастным оборотами.</w:t>
            </w:r>
          </w:p>
        </w:tc>
        <w:tc>
          <w:tcPr>
            <w:tcW w:type="dxa" w:w="1559"/>
          </w:tcPr>
          <w:p w14:paraId="9C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9D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26</w:t>
            </w:r>
          </w:p>
        </w:tc>
        <w:tc>
          <w:tcPr>
            <w:tcW w:type="dxa" w:w="8027"/>
          </w:tcPr>
          <w:p w14:paraId="9E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шибки в </w:t>
            </w:r>
            <w:r>
              <w:rPr>
                <w:rFonts w:ascii="Times New Roman" w:hAnsi="Times New Roman"/>
                <w:color w:val="333333"/>
                <w:sz w:val="24"/>
              </w:rPr>
              <w:t>построении сложного предложения.</w:t>
            </w:r>
          </w:p>
        </w:tc>
        <w:tc>
          <w:tcPr>
            <w:tcW w:type="dxa" w:w="1559"/>
          </w:tcPr>
          <w:p w14:paraId="9F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A0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27</w:t>
            </w:r>
          </w:p>
        </w:tc>
        <w:tc>
          <w:tcPr>
            <w:tcW w:type="dxa" w:w="8027"/>
          </w:tcPr>
          <w:p w14:paraId="A1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С</w:t>
            </w:r>
            <w:r>
              <w:rPr>
                <w:rFonts w:ascii="Times New Roman" w:hAnsi="Times New Roman"/>
                <w:color w:val="333333"/>
                <w:sz w:val="24"/>
              </w:rPr>
              <w:t>мешение прямой и косвенной речи</w:t>
            </w:r>
          </w:p>
        </w:tc>
        <w:tc>
          <w:tcPr>
            <w:tcW w:type="dxa" w:w="1559"/>
          </w:tcPr>
          <w:p w14:paraId="A2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A3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28</w:t>
            </w:r>
          </w:p>
        </w:tc>
        <w:tc>
          <w:tcPr>
            <w:tcW w:type="dxa" w:w="8027"/>
          </w:tcPr>
          <w:p w14:paraId="A4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</w:t>
            </w:r>
            <w:r>
              <w:rPr>
                <w:rFonts w:ascii="Times New Roman" w:hAnsi="Times New Roman"/>
                <w:color w:val="333333"/>
                <w:sz w:val="24"/>
              </w:rPr>
              <w:t>арушение границ предложения</w:t>
            </w:r>
          </w:p>
        </w:tc>
        <w:tc>
          <w:tcPr>
            <w:tcW w:type="dxa" w:w="1559"/>
          </w:tcPr>
          <w:p w14:paraId="A5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A6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29</w:t>
            </w:r>
          </w:p>
        </w:tc>
        <w:tc>
          <w:tcPr>
            <w:tcW w:type="dxa" w:w="8027"/>
          </w:tcPr>
          <w:p w14:paraId="A7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</w:t>
            </w:r>
            <w:r>
              <w:rPr>
                <w:rFonts w:ascii="Times New Roman" w:hAnsi="Times New Roman"/>
                <w:color w:val="333333"/>
                <w:sz w:val="24"/>
              </w:rPr>
              <w:t>арушение видовременной соотнесенности глагольных форм</w:t>
            </w:r>
          </w:p>
        </w:tc>
        <w:tc>
          <w:tcPr>
            <w:tcW w:type="dxa" w:w="1559"/>
          </w:tcPr>
          <w:p w14:paraId="A8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A9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30</w:t>
            </w:r>
          </w:p>
        </w:tc>
        <w:tc>
          <w:tcPr>
            <w:tcW w:type="dxa" w:w="8027"/>
          </w:tcPr>
          <w:p w14:paraId="AA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</w:t>
            </w:r>
            <w:r>
              <w:rPr>
                <w:rFonts w:ascii="Times New Roman" w:hAnsi="Times New Roman"/>
                <w:color w:val="333333"/>
                <w:sz w:val="24"/>
              </w:rPr>
              <w:t>арушение порядка слов в предложении</w:t>
            </w:r>
          </w:p>
        </w:tc>
        <w:tc>
          <w:tcPr>
            <w:tcW w:type="dxa" w:w="1559"/>
          </w:tcPr>
          <w:p w14:paraId="AB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AC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31</w:t>
            </w:r>
          </w:p>
        </w:tc>
        <w:tc>
          <w:tcPr>
            <w:tcW w:type="dxa" w:w="8027"/>
          </w:tcPr>
          <w:p w14:paraId="AD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</w:rPr>
              <w:t>шибки в выборе союзов и союзных слов</w:t>
            </w:r>
          </w:p>
        </w:tc>
        <w:tc>
          <w:tcPr>
            <w:tcW w:type="dxa" w:w="1559"/>
          </w:tcPr>
          <w:p w14:paraId="AE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>
        <w:tc>
          <w:tcPr>
            <w:tcW w:type="dxa" w:w="728"/>
          </w:tcPr>
          <w:p w14:paraId="AF000000">
            <w:pPr>
              <w:spacing w:after="135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32-34</w:t>
            </w:r>
          </w:p>
        </w:tc>
        <w:tc>
          <w:tcPr>
            <w:tcW w:type="dxa" w:w="8027"/>
          </w:tcPr>
          <w:p w14:paraId="B0000000">
            <w:pPr>
              <w:spacing w:afterAutospacing="on" w:beforeAutospacing="on"/>
              <w:ind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Решение кейсов. Промежуточная </w:t>
            </w:r>
            <w:r>
              <w:rPr>
                <w:rFonts w:ascii="Times New Roman" w:hAnsi="Times New Roman"/>
                <w:color w:val="333333"/>
                <w:sz w:val="24"/>
              </w:rPr>
              <w:t>аттестация</w:t>
            </w:r>
          </w:p>
        </w:tc>
        <w:tc>
          <w:tcPr>
            <w:tcW w:type="dxa" w:w="1559"/>
          </w:tcPr>
          <w:p w14:paraId="B1000000">
            <w:pPr>
              <w:spacing w:after="135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</w:p>
        </w:tc>
      </w:tr>
    </w:tbl>
    <w:p w14:paraId="B2000000">
      <w:pPr>
        <w:spacing w:after="135" w:line="240" w:lineRule="auto"/>
        <w:ind/>
        <w:jc w:val="center"/>
        <w:rPr>
          <w:rFonts w:ascii="Times New Roman" w:hAnsi="Times New Roman"/>
          <w:color w:val="333333"/>
          <w:sz w:val="24"/>
        </w:rPr>
      </w:pPr>
    </w:p>
    <w:sectPr>
      <w:pgSz w:h="16838" w:w="11906"/>
      <w:pgMar w:bottom="567" w:footer="709" w:gutter="0" w:header="709" w:left="1134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decimal"/>
      <w:lvlText w:val="%1.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pPr>
        <w:tabs>
          <w:tab w:leader="none" w:pos="6480" w:val="left"/>
        </w:tabs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link w:val="Style_7_ch"/>
    <w:uiPriority w:val="39"/>
    <w:pPr>
      <w:ind w:firstLine="0" w:left="200"/>
    </w:pPr>
  </w:style>
  <w:style w:styleId="Style_7_ch" w:type="character">
    <w:name w:val="toc 2"/>
    <w:link w:val="Style_7"/>
  </w:style>
  <w:style w:styleId="Style_8" w:type="paragraph">
    <w:name w:val="toc 4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toc 6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toc 7"/>
    <w:link w:val="Style_10_ch"/>
    <w:uiPriority w:val="39"/>
    <w:pPr>
      <w:ind w:firstLine="0" w:left="1200"/>
    </w:pPr>
  </w:style>
  <w:style w:styleId="Style_10_ch" w:type="character">
    <w:name w:val="toc 7"/>
    <w:link w:val="Style_10"/>
  </w:style>
  <w:style w:styleId="Style_11" w:type="paragraph">
    <w:name w:val="heading 3"/>
    <w:link w:val="Style_11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1_ch" w:type="character">
    <w:name w:val="heading 3"/>
    <w:link w:val="Style_11"/>
    <w:rPr>
      <w:rFonts w:ascii="XO Thames" w:hAnsi="XO Thames"/>
      <w:b w:val="1"/>
      <w:i w:val="1"/>
      <w:color w:val="000000"/>
    </w:rPr>
  </w:style>
  <w:style w:styleId="Style_4" w:type="paragraph">
    <w:name w:val="placeholder"/>
    <w:basedOn w:val="Style_12"/>
    <w:link w:val="Style_4_ch"/>
  </w:style>
  <w:style w:styleId="Style_4_ch" w:type="character">
    <w:name w:val="placeholder"/>
    <w:basedOn w:val="Style_12_ch"/>
    <w:link w:val="Style_4"/>
  </w:style>
  <w:style w:styleId="Style_13" w:type="paragraph">
    <w:name w:val="toc 3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14" w:type="paragraph">
    <w:name w:val="heading 5"/>
    <w:link w:val="Style_14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4_ch" w:type="character">
    <w:name w:val="heading 5"/>
    <w:link w:val="Style_14"/>
    <w:rPr>
      <w:rFonts w:ascii="XO Thames" w:hAnsi="XO Thames"/>
      <w:b w:val="1"/>
      <w:color w:val="000000"/>
      <w:sz w:val="22"/>
    </w:rPr>
  </w:style>
  <w:style w:styleId="Style_15" w:type="paragraph">
    <w:name w:val="heading 1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/>
      <w:jc w:val="left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3" w:type="paragraph">
    <w:name w:val="placeholder-mask"/>
    <w:basedOn w:val="Style_12"/>
    <w:link w:val="Style_3_ch"/>
  </w:style>
  <w:style w:styleId="Style_3_ch" w:type="character">
    <w:name w:val="placeholder-mask"/>
    <w:basedOn w:val="Style_12_ch"/>
    <w:link w:val="Style_3"/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" w:type="paragraph">
    <w:name w:val="Strong"/>
    <w:basedOn w:val="Style_12"/>
    <w:link w:val="Style_2_ch"/>
    <w:rPr>
      <w:b w:val="1"/>
    </w:rPr>
  </w:style>
  <w:style w:styleId="Style_2_ch" w:type="character">
    <w:name w:val="Strong"/>
    <w:basedOn w:val="Style_12_ch"/>
    <w:link w:val="Style_2"/>
    <w:rPr>
      <w:b w:val="1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1" w:type="paragraph">
    <w:name w:val="Normal (Web)"/>
    <w:basedOn w:val="Style_6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6_ch"/>
    <w:link w:val="Style_1"/>
    <w:rPr>
      <w:rFonts w:ascii="Times New Roman" w:hAnsi="Times New Roman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styleId="Style_5" w:type="table">
    <w:name w:val="Table Grid"/>
    <w:basedOn w:val="Style_28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